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0" w:type="auto"/>
        <w:tblLook w:val="04A0" w:firstRow="1" w:lastRow="0" w:firstColumn="1" w:lastColumn="0" w:noHBand="0" w:noVBand="1"/>
      </w:tblPr>
      <w:tblGrid>
        <w:gridCol w:w="12950"/>
      </w:tblGrid>
      <w:tr w:rsidR="00A84C33" w:rsidRPr="00A84C33" w14:paraId="6661BAE8" w14:textId="77777777" w:rsidTr="00A84C33">
        <w:tc>
          <w:tcPr>
            <w:tcW w:w="12950" w:type="dxa"/>
          </w:tcPr>
          <w:p w14:paraId="38566B5E"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normaltextrun"/>
                <w:b/>
                <w:bCs/>
                <w:sz w:val="27"/>
                <w:szCs w:val="27"/>
              </w:rPr>
              <w:t>C</w:t>
            </w:r>
            <w:r w:rsidRPr="00A84C33">
              <w:rPr>
                <w:rStyle w:val="normaltextrun"/>
                <w:rFonts w:ascii="Cambria" w:hAnsi="Cambria" w:cs="Segoe UI"/>
                <w:color w:val="365F91"/>
                <w:sz w:val="22"/>
                <w:szCs w:val="22"/>
              </w:rPr>
              <w:t>ore Courses (required)</w:t>
            </w:r>
            <w:r w:rsidRPr="00A84C33">
              <w:rPr>
                <w:rStyle w:val="eop"/>
                <w:rFonts w:ascii="Cambria" w:hAnsi="Cambria" w:cs="Segoe UI"/>
                <w:color w:val="365F91"/>
                <w:sz w:val="22"/>
                <w:szCs w:val="22"/>
              </w:rPr>
              <w:t> </w:t>
            </w:r>
          </w:p>
        </w:tc>
      </w:tr>
      <w:tr w:rsidR="00A84C33" w:rsidRPr="00A84C33" w14:paraId="5C7CFFD2" w14:textId="77777777" w:rsidTr="00A84C33">
        <w:tc>
          <w:tcPr>
            <w:tcW w:w="12950" w:type="dxa"/>
          </w:tcPr>
          <w:p w14:paraId="4E4C343E"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normaltextrun"/>
                <w:b/>
                <w:bCs/>
              </w:rPr>
              <w:t>TUL500 Biblical Theology in the Urban Context:</w:t>
            </w:r>
            <w:r w:rsidRPr="00A84C33">
              <w:rPr>
                <w:rStyle w:val="normaltextrun"/>
              </w:rPr>
              <w:t> This course builds a biblical theology overview that connects the motif of the Kingdom of God to issues of poverty, oppression, community development, and church growth in urban poor communities.</w:t>
            </w:r>
            <w:r w:rsidRPr="00A84C33">
              <w:rPr>
                <w:rStyle w:val="eop"/>
              </w:rPr>
              <w:t> </w:t>
            </w:r>
          </w:p>
        </w:tc>
      </w:tr>
      <w:tr w:rsidR="00A84C33" w:rsidRPr="00A84C33" w14:paraId="36349F5C" w14:textId="77777777" w:rsidTr="00A84C33">
        <w:tc>
          <w:tcPr>
            <w:tcW w:w="12950" w:type="dxa"/>
          </w:tcPr>
          <w:p w14:paraId="426EF833" w14:textId="77777777" w:rsidR="00A84C33" w:rsidRPr="00A84C33" w:rsidRDefault="00A84C33" w:rsidP="00585FA3">
            <w:pPr>
              <w:pStyle w:val="paragraph"/>
              <w:spacing w:before="0" w:beforeAutospacing="0" w:after="0" w:afterAutospacing="0"/>
              <w:textAlignment w:val="baseline"/>
              <w:rPr>
                <w:rStyle w:val="scxw151617341"/>
                <w:rFonts w:ascii="Cambria" w:hAnsi="Cambria" w:cs="Segoe UI"/>
                <w:sz w:val="22"/>
                <w:szCs w:val="22"/>
              </w:rPr>
            </w:pPr>
            <w:r w:rsidRPr="00A84C33">
              <w:rPr>
                <w:rStyle w:val="scxw151617341"/>
                <w:rFonts w:ascii="Cambria" w:hAnsi="Cambria" w:cs="Segoe UI"/>
                <w:sz w:val="22"/>
                <w:szCs w:val="22"/>
              </w:rPr>
              <w:t> </w:t>
            </w:r>
          </w:p>
        </w:tc>
      </w:tr>
      <w:tr w:rsidR="00A84C33" w:rsidRPr="00A84C33" w14:paraId="6F45A58E" w14:textId="77777777" w:rsidTr="00A84C33">
        <w:tc>
          <w:tcPr>
            <w:tcW w:w="12950" w:type="dxa"/>
          </w:tcPr>
          <w:p w14:paraId="1BD2564E" w14:textId="77777777" w:rsidR="00A84C33" w:rsidRPr="00A84C33" w:rsidRDefault="00A84C33" w:rsidP="00585FA3">
            <w:pPr>
              <w:pStyle w:val="paragraph"/>
              <w:spacing w:before="0" w:beforeAutospacing="0" w:after="0" w:afterAutospacing="0"/>
              <w:textAlignment w:val="baseline"/>
              <w:rPr>
                <w:rStyle w:val="scxw151617341"/>
                <w:rFonts w:ascii="Cambria" w:hAnsi="Cambria" w:cs="Segoe UI"/>
                <w:sz w:val="22"/>
                <w:szCs w:val="22"/>
              </w:rPr>
            </w:pPr>
            <w:r w:rsidRPr="00A84C33">
              <w:rPr>
                <w:rFonts w:ascii="Cambria" w:hAnsi="Cambria" w:cs="Segoe UI"/>
                <w:sz w:val="22"/>
                <w:szCs w:val="22"/>
              </w:rPr>
              <w:br/>
            </w:r>
            <w:r w:rsidRPr="00A84C33">
              <w:rPr>
                <w:rStyle w:val="normaltextrun"/>
                <w:b/>
                <w:bCs/>
              </w:rPr>
              <w:t>TUL503/504 Language and Culture Acquisition:</w:t>
            </w:r>
            <w:r w:rsidRPr="00A84C33">
              <w:rPr>
                <w:rStyle w:val="normaltextrun"/>
              </w:rPr>
              <w:t> These courses guide students in working with local schools or language helpers in the acquisition of knowledge and skills for independent language and culture learning within urban-poor communities [may be tested out for those with high intermediate language skills, or those working within their own cultural context, this course is a support to 4 days per week of language learning]. </w:t>
            </w:r>
            <w:r w:rsidRPr="00A84C33">
              <w:rPr>
                <w:rStyle w:val="scxw151617341"/>
              </w:rPr>
              <w:t> </w:t>
            </w:r>
            <w:r w:rsidRPr="00A84C33">
              <w:br/>
            </w:r>
            <w:r w:rsidRPr="00A84C33">
              <w:rPr>
                <w:rStyle w:val="scxw151617341"/>
                <w:rFonts w:ascii="Cambria" w:hAnsi="Cambria" w:cs="Segoe UI"/>
                <w:sz w:val="22"/>
                <w:szCs w:val="22"/>
              </w:rPr>
              <w:t> </w:t>
            </w:r>
          </w:p>
        </w:tc>
      </w:tr>
      <w:tr w:rsidR="00A84C33" w:rsidRPr="00A84C33" w14:paraId="6FE7D7B8" w14:textId="77777777" w:rsidTr="00A84C33">
        <w:tc>
          <w:tcPr>
            <w:tcW w:w="12950" w:type="dxa"/>
          </w:tcPr>
          <w:p w14:paraId="5DED33C4" w14:textId="77777777" w:rsidR="00A84C33" w:rsidRPr="00A84C33" w:rsidRDefault="00A84C33" w:rsidP="00585FA3">
            <w:pPr>
              <w:pStyle w:val="paragraph"/>
              <w:spacing w:before="0" w:beforeAutospacing="0" w:after="0" w:afterAutospacing="0"/>
              <w:textAlignment w:val="baseline"/>
              <w:rPr>
                <w:rStyle w:val="scxw151617341"/>
                <w:rFonts w:ascii="Cambria" w:hAnsi="Cambria" w:cs="Segoe UI"/>
                <w:sz w:val="22"/>
                <w:szCs w:val="22"/>
              </w:rPr>
            </w:pPr>
            <w:r w:rsidRPr="00A84C33">
              <w:rPr>
                <w:rFonts w:ascii="Cambria" w:hAnsi="Cambria" w:cs="Segoe UI"/>
                <w:sz w:val="22"/>
                <w:szCs w:val="22"/>
              </w:rPr>
              <w:br/>
            </w:r>
            <w:r w:rsidRPr="00A84C33">
              <w:rPr>
                <w:rStyle w:val="normaltextrun"/>
                <w:b/>
                <w:bCs/>
              </w:rPr>
              <w:t>TUL520 Urban Spirituality:</w:t>
            </w:r>
            <w:r w:rsidRPr="00A84C33">
              <w:rPr>
                <w:rStyle w:val="normaltextrun"/>
              </w:rPr>
              <w:t> This course expands theologies of the Holy Spirit and his work among the urban poor. It emphasizes care and nurturing of workers, practical application of the spiritual disciplines</w:t>
            </w:r>
            <w:r w:rsidRPr="00A84C33">
              <w:rPr>
                <w:rStyle w:val="normaltextrun"/>
                <w:color w:val="D13438"/>
                <w:u w:val="single"/>
              </w:rPr>
              <w:t>, and communicating between diverse understandings of the work of the Spirit</w:t>
            </w:r>
            <w:r w:rsidRPr="00A84C33">
              <w:rPr>
                <w:rStyle w:val="normaltextrun"/>
              </w:rPr>
              <w:t>. </w:t>
            </w:r>
            <w:r w:rsidRPr="00A84C33">
              <w:rPr>
                <w:rStyle w:val="scxw151617341"/>
              </w:rPr>
              <w:t> </w:t>
            </w:r>
            <w:r w:rsidRPr="00A84C33">
              <w:br/>
            </w:r>
            <w:r w:rsidRPr="00A84C33">
              <w:rPr>
                <w:rStyle w:val="scxw151617341"/>
                <w:rFonts w:ascii="Cambria" w:hAnsi="Cambria" w:cs="Segoe UI"/>
                <w:sz w:val="22"/>
                <w:szCs w:val="22"/>
              </w:rPr>
              <w:t> </w:t>
            </w:r>
          </w:p>
        </w:tc>
      </w:tr>
      <w:tr w:rsidR="00A84C33" w:rsidRPr="00A84C33" w14:paraId="69B22A1C" w14:textId="77777777" w:rsidTr="00A84C33">
        <w:tc>
          <w:tcPr>
            <w:tcW w:w="12950" w:type="dxa"/>
          </w:tcPr>
          <w:p w14:paraId="2C4B8ECD" w14:textId="77777777" w:rsidR="00A84C33" w:rsidRPr="00A84C33" w:rsidRDefault="00A84C33" w:rsidP="00585FA3">
            <w:pPr>
              <w:pStyle w:val="paragraph"/>
              <w:spacing w:before="0" w:beforeAutospacing="0" w:after="0" w:afterAutospacing="0"/>
              <w:textAlignment w:val="baseline"/>
              <w:rPr>
                <w:rStyle w:val="scxw151617341"/>
                <w:rFonts w:ascii="Cambria" w:hAnsi="Cambria" w:cs="Segoe UI"/>
                <w:sz w:val="22"/>
                <w:szCs w:val="22"/>
              </w:rPr>
            </w:pPr>
            <w:r w:rsidRPr="00A84C33">
              <w:rPr>
                <w:rFonts w:ascii="Cambria" w:hAnsi="Cambria" w:cs="Segoe UI"/>
                <w:sz w:val="22"/>
                <w:szCs w:val="22"/>
              </w:rPr>
              <w:br/>
            </w:r>
            <w:r w:rsidRPr="00A84C33">
              <w:rPr>
                <w:rStyle w:val="normaltextrun"/>
                <w:b/>
                <w:bCs/>
              </w:rPr>
              <w:t>TUL530 Building Faith Communities:</w:t>
            </w:r>
            <w:r w:rsidRPr="00A84C33">
              <w:rPr>
                <w:rStyle w:val="normaltextrun"/>
              </w:rPr>
              <w:t> This course applies a story-telling approach to the process of entering poor communities and developing holistic poor peoples’ churches in ways faithful to the values and goals of the Kingdom of God. </w:t>
            </w:r>
            <w:r w:rsidRPr="00A84C33">
              <w:rPr>
                <w:rStyle w:val="scxw151617341"/>
              </w:rPr>
              <w:t> </w:t>
            </w:r>
            <w:r w:rsidRPr="00A84C33">
              <w:br/>
            </w:r>
            <w:r w:rsidRPr="00A84C33">
              <w:rPr>
                <w:rStyle w:val="scxw151617341"/>
                <w:rFonts w:ascii="Cambria" w:hAnsi="Cambria" w:cs="Segoe UI"/>
                <w:sz w:val="22"/>
                <w:szCs w:val="22"/>
              </w:rPr>
              <w:t> </w:t>
            </w:r>
          </w:p>
        </w:tc>
      </w:tr>
      <w:tr w:rsidR="00A84C33" w:rsidRPr="00A84C33" w14:paraId="54C33110" w14:textId="77777777" w:rsidTr="00A84C33">
        <w:tc>
          <w:tcPr>
            <w:tcW w:w="12950" w:type="dxa"/>
          </w:tcPr>
          <w:p w14:paraId="730653A1"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Fonts w:ascii="Cambria" w:hAnsi="Cambria" w:cs="Segoe UI"/>
                <w:sz w:val="22"/>
                <w:szCs w:val="22"/>
              </w:rPr>
              <w:br/>
            </w:r>
            <w:r w:rsidRPr="00A84C33">
              <w:rPr>
                <w:rStyle w:val="normaltextrun"/>
                <w:b/>
                <w:bCs/>
              </w:rPr>
              <w:t>TUL540 Social Science Theories of the City:</w:t>
            </w:r>
            <w:r w:rsidRPr="00A84C33">
              <w:rPr>
                <w:rStyle w:val="normaltextrun"/>
              </w:rPr>
              <w:t> This course social analysis in urban theology, drawing upon studies in economics, urban geography, anthropology, sociology, and history. It aims to generate perspectives and tools for transformative urban mission.</w:t>
            </w:r>
            <w:r w:rsidRPr="00A84C33">
              <w:rPr>
                <w:rStyle w:val="eop"/>
              </w:rPr>
              <w:t> </w:t>
            </w:r>
          </w:p>
        </w:tc>
      </w:tr>
      <w:tr w:rsidR="00A84C33" w:rsidRPr="00A84C33" w14:paraId="6A1678BC" w14:textId="77777777" w:rsidTr="00A84C33">
        <w:tc>
          <w:tcPr>
            <w:tcW w:w="12950" w:type="dxa"/>
          </w:tcPr>
          <w:p w14:paraId="5F3E0A1A" w14:textId="77777777" w:rsidR="00A84C33" w:rsidRPr="00A84C33" w:rsidRDefault="00A84C33" w:rsidP="00585FA3">
            <w:pPr>
              <w:pStyle w:val="paragraph"/>
              <w:spacing w:before="0" w:beforeAutospacing="0" w:after="0" w:afterAutospacing="0"/>
              <w:textAlignment w:val="baseline"/>
              <w:rPr>
                <w:rStyle w:val="eop"/>
              </w:rPr>
            </w:pPr>
            <w:r w:rsidRPr="00A84C33">
              <w:rPr>
                <w:rStyle w:val="eop"/>
              </w:rPr>
              <w:t> </w:t>
            </w:r>
          </w:p>
        </w:tc>
      </w:tr>
      <w:tr w:rsidR="00A84C33" w:rsidRPr="00A84C33" w14:paraId="7DC84BF7" w14:textId="77777777" w:rsidTr="00A84C33">
        <w:tc>
          <w:tcPr>
            <w:tcW w:w="12950" w:type="dxa"/>
          </w:tcPr>
          <w:p w14:paraId="7B22B6B6"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p>
        </w:tc>
      </w:tr>
      <w:tr w:rsidR="00A84C33" w:rsidRPr="00A84C33" w14:paraId="7E0B2C9B" w14:textId="77777777" w:rsidTr="00A84C33">
        <w:tc>
          <w:tcPr>
            <w:tcW w:w="12950" w:type="dxa"/>
          </w:tcPr>
          <w:p w14:paraId="081739A5" w14:textId="77777777" w:rsidR="00A84C33" w:rsidRPr="00A84C33" w:rsidRDefault="00A84C33" w:rsidP="00585FA3">
            <w:pPr>
              <w:pStyle w:val="paragraph"/>
              <w:spacing w:before="0" w:beforeAutospacing="0" w:after="0" w:afterAutospacing="0"/>
              <w:textAlignment w:val="baseline"/>
              <w:rPr>
                <w:rStyle w:val="scxw151617341"/>
                <w:rFonts w:ascii="Cambria" w:hAnsi="Cambria" w:cs="Segoe UI"/>
                <w:sz w:val="22"/>
                <w:szCs w:val="22"/>
              </w:rPr>
            </w:pPr>
            <w:r w:rsidRPr="00A84C33">
              <w:rPr>
                <w:rStyle w:val="normaltextrun"/>
                <w:b/>
                <w:bCs/>
              </w:rPr>
              <w:t>TUL560 Theology and Practice of Community Economics:</w:t>
            </w:r>
            <w:r w:rsidRPr="00A84C33">
              <w:rPr>
                <w:rStyle w:val="normaltextrun"/>
              </w:rPr>
              <w:t> This course relates biblical and theological perspectives to the theory and practice of community wealth building. Special emphasis is given to cooperatives, microenterprises, and entrepreneurship as a basis for asset building and ownership.</w:t>
            </w:r>
            <w:r w:rsidRPr="00A84C33">
              <w:rPr>
                <w:rStyle w:val="scxw151617341"/>
              </w:rPr>
              <w:t> </w:t>
            </w:r>
            <w:r w:rsidRPr="00A84C33">
              <w:br/>
            </w:r>
            <w:r w:rsidRPr="00A84C33">
              <w:rPr>
                <w:rStyle w:val="scxw151617341"/>
                <w:rFonts w:ascii="Cambria" w:hAnsi="Cambria" w:cs="Segoe UI"/>
                <w:sz w:val="22"/>
                <w:szCs w:val="22"/>
              </w:rPr>
              <w:t> </w:t>
            </w:r>
          </w:p>
        </w:tc>
      </w:tr>
      <w:tr w:rsidR="00A84C33" w:rsidRPr="00A84C33" w14:paraId="5F38D32A" w14:textId="77777777" w:rsidTr="00A84C33">
        <w:tc>
          <w:tcPr>
            <w:tcW w:w="12950" w:type="dxa"/>
          </w:tcPr>
          <w:p w14:paraId="0DBB22F5"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Fonts w:ascii="Cambria" w:hAnsi="Cambria" w:cs="Segoe UI"/>
                <w:sz w:val="22"/>
                <w:szCs w:val="22"/>
              </w:rPr>
              <w:br/>
            </w:r>
            <w:r w:rsidRPr="00A84C33">
              <w:rPr>
                <w:rStyle w:val="normaltextrun"/>
                <w:b/>
                <w:bCs/>
              </w:rPr>
              <w:t>TUL670 Qualitative Urban Research Methods: </w:t>
            </w:r>
            <w:r w:rsidRPr="00A84C33">
              <w:rPr>
                <w:rStyle w:val="normaltextrun"/>
              </w:rPr>
              <w:t>Students in this course design qualitative/participatory research projects related to </w:t>
            </w:r>
            <w:proofErr w:type="spellStart"/>
            <w:r w:rsidRPr="00A84C33">
              <w:rPr>
                <w:rStyle w:val="normaltextrun"/>
              </w:rPr>
              <w:t>missiologically</w:t>
            </w:r>
            <w:proofErr w:type="spellEnd"/>
            <w:r w:rsidRPr="00A84C33">
              <w:rPr>
                <w:rStyle w:val="normaltextrun"/>
              </w:rPr>
              <w:t> significant issues on behalf of an urban church movement or community organization.</w:t>
            </w:r>
            <w:r w:rsidRPr="00A84C33">
              <w:rPr>
                <w:rStyle w:val="eop"/>
              </w:rPr>
              <w:t> </w:t>
            </w:r>
          </w:p>
        </w:tc>
      </w:tr>
      <w:tr w:rsidR="00A84C33" w:rsidRPr="00A84C33" w14:paraId="6F23B304" w14:textId="77777777" w:rsidTr="00A84C33">
        <w:tc>
          <w:tcPr>
            <w:tcW w:w="12950" w:type="dxa"/>
          </w:tcPr>
          <w:p w14:paraId="2209DB02" w14:textId="77777777" w:rsidR="00A84C33" w:rsidRPr="00A84C33" w:rsidRDefault="00A84C33" w:rsidP="00585FA3">
            <w:pPr>
              <w:pStyle w:val="paragraph"/>
              <w:spacing w:before="0" w:beforeAutospacing="0" w:after="0" w:afterAutospacing="0"/>
              <w:textAlignment w:val="baseline"/>
              <w:rPr>
                <w:rStyle w:val="eop"/>
              </w:rPr>
            </w:pPr>
            <w:r w:rsidRPr="00A84C33">
              <w:rPr>
                <w:rStyle w:val="eop"/>
              </w:rPr>
              <w:t> </w:t>
            </w:r>
          </w:p>
        </w:tc>
      </w:tr>
      <w:tr w:rsidR="00A84C33" w:rsidRPr="00A84C33" w14:paraId="1CBF1871" w14:textId="77777777" w:rsidTr="00A84C33">
        <w:tc>
          <w:tcPr>
            <w:tcW w:w="12950" w:type="dxa"/>
          </w:tcPr>
          <w:p w14:paraId="479791BF"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p>
        </w:tc>
      </w:tr>
      <w:tr w:rsidR="00A84C33" w:rsidRPr="00A84C33" w14:paraId="6BCC4687" w14:textId="77777777" w:rsidTr="00A84C33">
        <w:tc>
          <w:tcPr>
            <w:tcW w:w="12950" w:type="dxa"/>
          </w:tcPr>
          <w:p w14:paraId="6A196889" w14:textId="77777777" w:rsidR="00A84C33" w:rsidRPr="00A84C33" w:rsidRDefault="00A84C33" w:rsidP="00585FA3">
            <w:pPr>
              <w:pStyle w:val="paragraph"/>
              <w:spacing w:before="0" w:beforeAutospacing="0" w:after="0" w:afterAutospacing="0"/>
              <w:textAlignment w:val="baseline"/>
              <w:rPr>
                <w:rStyle w:val="normaltextrun"/>
              </w:rPr>
            </w:pPr>
            <w:r w:rsidRPr="00A84C33">
              <w:rPr>
                <w:rStyle w:val="normaltextrun"/>
                <w:b/>
                <w:bCs/>
              </w:rPr>
              <w:lastRenderedPageBreak/>
              <w:t>TUL675 Integrative Final Project:</w:t>
            </w:r>
            <w:r w:rsidRPr="00A84C33">
              <w:rPr>
                <w:rStyle w:val="normaltextrun"/>
              </w:rPr>
              <w:t xml:space="preserve"> In this course, students conduct the qualitative/participatory research projects they designed in </w:t>
            </w:r>
          </w:p>
        </w:tc>
      </w:tr>
      <w:tr w:rsidR="00A84C33" w:rsidRPr="00A84C33" w14:paraId="11690E28" w14:textId="77777777" w:rsidTr="00A84C33">
        <w:tc>
          <w:tcPr>
            <w:tcW w:w="12950" w:type="dxa"/>
          </w:tcPr>
          <w:p w14:paraId="16BAA56D"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normaltextrun"/>
              </w:rPr>
              <w:t>TUL670. This culminates in the writing and oral presentation of a report that involves local residents in transformation.</w:t>
            </w:r>
            <w:r w:rsidRPr="00A84C33">
              <w:rPr>
                <w:rStyle w:val="eop"/>
              </w:rPr>
              <w:t> </w:t>
            </w:r>
          </w:p>
        </w:tc>
      </w:tr>
      <w:tr w:rsidR="00A84C33" w:rsidRPr="00A84C33" w14:paraId="66C4C77D" w14:textId="77777777" w:rsidTr="00A84C33">
        <w:tc>
          <w:tcPr>
            <w:tcW w:w="12950" w:type="dxa"/>
          </w:tcPr>
          <w:p w14:paraId="0650D9EB"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eop"/>
              </w:rPr>
              <w:t> </w:t>
            </w:r>
          </w:p>
        </w:tc>
      </w:tr>
      <w:tr w:rsidR="00A84C33" w:rsidRPr="00A84C33" w14:paraId="17E7941A" w14:textId="77777777" w:rsidTr="00A84C33">
        <w:tc>
          <w:tcPr>
            <w:tcW w:w="12950" w:type="dxa"/>
          </w:tcPr>
          <w:p w14:paraId="2625EC51" w14:textId="77777777" w:rsidR="00A84C33" w:rsidRPr="00A84C33" w:rsidRDefault="00A84C33" w:rsidP="00585FA3">
            <w:pPr>
              <w:pStyle w:val="paragraph"/>
              <w:spacing w:before="0" w:beforeAutospacing="0" w:after="0" w:afterAutospacing="0"/>
              <w:textAlignment w:val="baseline"/>
              <w:rPr>
                <w:rFonts w:ascii="Segoe UI" w:hAnsi="Segoe UI" w:cs="Segoe UI"/>
                <w:color w:val="365F91"/>
                <w:sz w:val="18"/>
                <w:szCs w:val="18"/>
              </w:rPr>
            </w:pPr>
            <w:r w:rsidRPr="00A84C33">
              <w:rPr>
                <w:rStyle w:val="normaltextrun"/>
                <w:rFonts w:ascii="Cambria" w:hAnsi="Cambria" w:cs="Segoe UI"/>
                <w:color w:val="365F91"/>
                <w:sz w:val="22"/>
                <w:szCs w:val="22"/>
              </w:rPr>
              <w:t>Elective Internships (Choose 4 or 5)</w:t>
            </w:r>
            <w:r w:rsidRPr="00A84C33">
              <w:rPr>
                <w:rStyle w:val="normaltextrun"/>
                <w:color w:val="365F91"/>
                <w:sz w:val="22"/>
                <w:szCs w:val="22"/>
              </w:rPr>
              <w:t> </w:t>
            </w:r>
            <w:r w:rsidRPr="00A84C33">
              <w:rPr>
                <w:rStyle w:val="eop"/>
                <w:color w:val="365F91"/>
                <w:sz w:val="22"/>
                <w:szCs w:val="22"/>
              </w:rPr>
              <w:t> </w:t>
            </w:r>
          </w:p>
        </w:tc>
      </w:tr>
      <w:tr w:rsidR="00A84C33" w:rsidRPr="00A84C33" w14:paraId="13DB0D80" w14:textId="77777777" w:rsidTr="00A84C33">
        <w:tc>
          <w:tcPr>
            <w:tcW w:w="12950" w:type="dxa"/>
          </w:tcPr>
          <w:p w14:paraId="2A297786"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normaltextrun"/>
              </w:rPr>
              <w:t>Students serve in mentored internships with local organizations, while engaging in lectures on theory.</w:t>
            </w:r>
            <w:r w:rsidRPr="00A84C33">
              <w:rPr>
                <w:rStyle w:val="eop"/>
              </w:rPr>
              <w:t> </w:t>
            </w:r>
          </w:p>
        </w:tc>
      </w:tr>
      <w:tr w:rsidR="00A84C33" w:rsidRPr="00A84C33" w14:paraId="32EBA431" w14:textId="77777777" w:rsidTr="00A84C33">
        <w:tc>
          <w:tcPr>
            <w:tcW w:w="12950" w:type="dxa"/>
          </w:tcPr>
          <w:p w14:paraId="55A1955B" w14:textId="77777777" w:rsidR="00A84C33" w:rsidRPr="00A84C33" w:rsidRDefault="00A84C33" w:rsidP="00585FA3">
            <w:pPr>
              <w:pStyle w:val="paragraph"/>
              <w:spacing w:before="0" w:beforeAutospacing="0" w:after="0" w:afterAutospacing="0"/>
              <w:textAlignment w:val="baseline"/>
              <w:rPr>
                <w:rStyle w:val="normaltextrun"/>
                <w:b/>
                <w:bCs/>
              </w:rPr>
            </w:pPr>
          </w:p>
        </w:tc>
      </w:tr>
      <w:tr w:rsidR="00A84C33" w:rsidRPr="00A84C33" w14:paraId="401B1347" w14:textId="77777777" w:rsidTr="00A84C33">
        <w:tc>
          <w:tcPr>
            <w:tcW w:w="12950" w:type="dxa"/>
          </w:tcPr>
          <w:p w14:paraId="1506C75E" w14:textId="67441B04" w:rsidR="00A84C33" w:rsidRPr="00A84C33" w:rsidRDefault="00A84C33" w:rsidP="00585FA3">
            <w:pPr>
              <w:pStyle w:val="paragraph"/>
              <w:spacing w:before="0" w:beforeAutospacing="0" w:after="0" w:afterAutospacing="0"/>
              <w:textAlignment w:val="baseline"/>
              <w:rPr>
                <w:rFonts w:ascii="Cambria" w:hAnsi="Cambria" w:cs="Segoe UI"/>
                <w:sz w:val="22"/>
                <w:szCs w:val="22"/>
              </w:rPr>
            </w:pPr>
            <w:r w:rsidRPr="00A84C33">
              <w:rPr>
                <w:rStyle w:val="normaltextrun"/>
                <w:b/>
                <w:bCs/>
              </w:rPr>
              <w:t>TUL550 Solidarity with the Marginalized:</w:t>
            </w:r>
            <w:r w:rsidRPr="00A84C33">
              <w:rPr>
                <w:rStyle w:val="normaltextrun"/>
              </w:rPr>
              <w:t> This course guides students in understanding the conditions of marginalized populations (e.g., street children, substance users, commercial sex workers, the elderly…) and in formulating a theology and strategy for team-based responses that aim to free individuals and change structural causes.</w:t>
            </w:r>
            <w:r w:rsidRPr="00A84C33">
              <w:rPr>
                <w:rStyle w:val="scxw151617341"/>
              </w:rPr>
              <w:t> </w:t>
            </w:r>
            <w:r w:rsidRPr="00A84C33">
              <w:br/>
            </w:r>
            <w:r w:rsidRPr="00A84C33">
              <w:rPr>
                <w:rStyle w:val="scxw151617341"/>
                <w:rFonts w:ascii="Cambria" w:hAnsi="Cambria" w:cs="Segoe UI"/>
                <w:sz w:val="22"/>
                <w:szCs w:val="22"/>
              </w:rPr>
              <w:t> </w:t>
            </w:r>
            <w:r w:rsidRPr="00A84C33">
              <w:rPr>
                <w:rFonts w:ascii="Cambria" w:hAnsi="Cambria" w:cs="Segoe UI"/>
                <w:sz w:val="22"/>
                <w:szCs w:val="22"/>
              </w:rPr>
              <w:br/>
            </w:r>
            <w:r w:rsidRPr="00A84C33">
              <w:rPr>
                <w:rStyle w:val="normaltextrun"/>
                <w:b/>
                <w:bCs/>
              </w:rPr>
              <w:t>TUL555 Educational Center Development:</w:t>
            </w:r>
            <w:r w:rsidRPr="00A84C33">
              <w:rPr>
                <w:rStyle w:val="normaltextrun"/>
              </w:rPr>
              <w:t> This course focuses on developing and improving preschool, elementary school, and vocational school education in global slums as integral to the work of urban poor churches. Topics include philosophy of education among the poor, and the course includes a practicum evaluating school effectiveness, models of community-based (slum) schooling, curriculum development, long-term management, and financial viability.</w:t>
            </w:r>
            <w:r w:rsidRPr="00A84C33">
              <w:rPr>
                <w:rStyle w:val="eop"/>
              </w:rPr>
              <w:t> </w:t>
            </w:r>
          </w:p>
        </w:tc>
      </w:tr>
      <w:tr w:rsidR="00A84C33" w:rsidRPr="00A84C33" w14:paraId="6BBE6C77" w14:textId="77777777" w:rsidTr="00A84C33">
        <w:tc>
          <w:tcPr>
            <w:tcW w:w="12950" w:type="dxa"/>
          </w:tcPr>
          <w:p w14:paraId="69BF521F"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eop"/>
              </w:rPr>
              <w:t> </w:t>
            </w:r>
          </w:p>
        </w:tc>
      </w:tr>
      <w:tr w:rsidR="00A84C33" w:rsidRPr="00A84C33" w14:paraId="486D60D5" w14:textId="77777777" w:rsidTr="00A84C33">
        <w:tc>
          <w:tcPr>
            <w:tcW w:w="12950" w:type="dxa"/>
          </w:tcPr>
          <w:p w14:paraId="0353FF14"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normaltextrun"/>
                <w:b/>
                <w:bCs/>
              </w:rPr>
              <w:t>TUL620 Leadership in Urban Movements:</w:t>
            </w:r>
            <w:r w:rsidRPr="00A84C33">
              <w:rPr>
                <w:rStyle w:val="normaltextrun"/>
              </w:rPr>
              <w:t> This course explores the dynamics of leadership within holistic, urban poor movements. Special emphasis is given to urban religious movements, social movements, civil sector organizational leadership models and citywide leadership networks for proclamation, revival and transformation. It includes being part of a conference leadership team.</w:t>
            </w:r>
            <w:r w:rsidRPr="00A84C33">
              <w:rPr>
                <w:rStyle w:val="eop"/>
              </w:rPr>
              <w:t> </w:t>
            </w:r>
          </w:p>
        </w:tc>
      </w:tr>
      <w:tr w:rsidR="00A84C33" w:rsidRPr="00A84C33" w14:paraId="5B7173E0" w14:textId="77777777" w:rsidTr="00A84C33">
        <w:tc>
          <w:tcPr>
            <w:tcW w:w="12950" w:type="dxa"/>
          </w:tcPr>
          <w:p w14:paraId="2728988F"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eop"/>
              </w:rPr>
              <w:t> </w:t>
            </w:r>
          </w:p>
        </w:tc>
      </w:tr>
      <w:tr w:rsidR="00A84C33" w:rsidRPr="00A84C33" w14:paraId="39443FDC" w14:textId="77777777" w:rsidTr="00A84C33">
        <w:tc>
          <w:tcPr>
            <w:tcW w:w="12950" w:type="dxa"/>
          </w:tcPr>
          <w:p w14:paraId="2A772E9E"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normaltextrun"/>
                <w:b/>
                <w:bCs/>
              </w:rPr>
              <w:t>TUL630 Community Transformation:</w:t>
            </w:r>
            <w:r w:rsidRPr="00A84C33">
              <w:rPr>
                <w:rStyle w:val="normaltextrun"/>
              </w:rPr>
              <w:t> Students explore the challenges, models of, and prospects for, transformational change within slum communities while developing a Christian framework for holistic development, organization, and advocacy among the urban poor and gaining facility in community asset mapping.</w:t>
            </w:r>
            <w:r w:rsidRPr="00A84C33">
              <w:rPr>
                <w:rStyle w:val="eop"/>
              </w:rPr>
              <w:t> </w:t>
            </w:r>
          </w:p>
        </w:tc>
      </w:tr>
      <w:tr w:rsidR="00A84C33" w:rsidRPr="00A84C33" w14:paraId="22C224F2" w14:textId="77777777" w:rsidTr="00A84C33">
        <w:tc>
          <w:tcPr>
            <w:tcW w:w="12950" w:type="dxa"/>
          </w:tcPr>
          <w:p w14:paraId="0A52BA4F"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eop"/>
              </w:rPr>
              <w:t> </w:t>
            </w:r>
          </w:p>
        </w:tc>
      </w:tr>
      <w:tr w:rsidR="00A84C33" w:rsidRPr="00A84C33" w14:paraId="3BCB4A6A" w14:textId="77777777" w:rsidTr="00A84C33">
        <w:tc>
          <w:tcPr>
            <w:tcW w:w="12950" w:type="dxa"/>
          </w:tcPr>
          <w:p w14:paraId="0D100CE4"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normaltextrun"/>
                <w:rFonts w:ascii="Cambria" w:hAnsi="Cambria" w:cs="Segoe UI"/>
                <w:b/>
                <w:bCs/>
                <w:sz w:val="22"/>
                <w:szCs w:val="22"/>
              </w:rPr>
              <w:t>TUL 635 Community Conflict Transformation: </w:t>
            </w:r>
            <w:r w:rsidRPr="00A84C33">
              <w:rPr>
                <w:rStyle w:val="normaltextrun"/>
                <w:rFonts w:ascii="Cambria" w:hAnsi="Cambria" w:cs="Segoe UI"/>
                <w:sz w:val="22"/>
                <w:szCs w:val="22"/>
              </w:rPr>
              <w:t>This course explores nonviolent responses to conflict that are oriented to the transformation of relationships damaged by hate, crime, family, or community violence or prejudice. The course introduces key concepts and skills toward the restoration of self and the rebuilding of relationships. </w:t>
            </w:r>
            <w:r w:rsidRPr="00A84C33">
              <w:rPr>
                <w:rStyle w:val="scxw151617341"/>
                <w:rFonts w:ascii="Cambria" w:hAnsi="Cambria" w:cs="Segoe UI"/>
                <w:sz w:val="22"/>
                <w:szCs w:val="22"/>
              </w:rPr>
              <w:t> </w:t>
            </w:r>
            <w:r w:rsidRPr="00A84C33">
              <w:rPr>
                <w:rFonts w:ascii="Cambria" w:hAnsi="Cambria" w:cs="Segoe UI"/>
                <w:sz w:val="22"/>
                <w:szCs w:val="22"/>
              </w:rPr>
              <w:br/>
            </w:r>
            <w:r w:rsidRPr="00A84C33">
              <w:rPr>
                <w:rStyle w:val="scxw151617341"/>
                <w:rFonts w:ascii="Cambria" w:hAnsi="Cambria" w:cs="Segoe UI"/>
                <w:sz w:val="22"/>
                <w:szCs w:val="22"/>
              </w:rPr>
              <w:t> </w:t>
            </w:r>
            <w:r w:rsidRPr="00A84C33">
              <w:rPr>
                <w:rFonts w:ascii="Cambria" w:hAnsi="Cambria" w:cs="Segoe UI"/>
                <w:sz w:val="22"/>
                <w:szCs w:val="22"/>
              </w:rPr>
              <w:br/>
            </w:r>
            <w:r w:rsidRPr="00A84C33">
              <w:rPr>
                <w:rStyle w:val="normaltextrun"/>
                <w:rFonts w:ascii="Cambria" w:hAnsi="Cambria" w:cs="Segoe UI"/>
                <w:b/>
                <w:bCs/>
                <w:sz w:val="22"/>
                <w:szCs w:val="22"/>
              </w:rPr>
              <w:t>TUL640 Entrepreneurial and Organizational Leadership:</w:t>
            </w:r>
            <w:r w:rsidRPr="00A84C33">
              <w:rPr>
                <w:rStyle w:val="normaltextrun"/>
                <w:rFonts w:ascii="Cambria" w:hAnsi="Cambria" w:cs="Segoe UI"/>
                <w:sz w:val="22"/>
                <w:szCs w:val="22"/>
              </w:rPr>
              <w:t> This course introduces the concepts and skills of entrepreneurial and organizational leadership required to initiate new movement structures among the urban poor. </w:t>
            </w:r>
            <w:r w:rsidRPr="00A84C33">
              <w:rPr>
                <w:rStyle w:val="eop"/>
                <w:rFonts w:ascii="Cambria" w:hAnsi="Cambria" w:cs="Segoe UI"/>
                <w:sz w:val="22"/>
                <w:szCs w:val="22"/>
              </w:rPr>
              <w:t> </w:t>
            </w:r>
          </w:p>
        </w:tc>
      </w:tr>
      <w:tr w:rsidR="00A84C33" w:rsidRPr="00A84C33" w14:paraId="75C5D89B" w14:textId="77777777" w:rsidTr="00A84C33">
        <w:tc>
          <w:tcPr>
            <w:tcW w:w="12950" w:type="dxa"/>
          </w:tcPr>
          <w:p w14:paraId="00F29835"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eop"/>
                <w:rFonts w:ascii="Cambria" w:hAnsi="Cambria" w:cs="Segoe UI"/>
                <w:sz w:val="36"/>
                <w:szCs w:val="36"/>
              </w:rPr>
              <w:t> </w:t>
            </w:r>
          </w:p>
        </w:tc>
      </w:tr>
      <w:tr w:rsidR="00A84C33" w:rsidRPr="00A84C33" w14:paraId="07893654" w14:textId="77777777" w:rsidTr="00A84C33">
        <w:tc>
          <w:tcPr>
            <w:tcW w:w="12950" w:type="dxa"/>
          </w:tcPr>
          <w:p w14:paraId="4213AAB8"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normaltextrun"/>
                <w:b/>
                <w:bCs/>
              </w:rPr>
              <w:t>TUL650 Urban Community Health Programs:</w:t>
            </w:r>
            <w:r w:rsidRPr="00A84C33">
              <w:rPr>
                <w:rStyle w:val="normaltextrun"/>
              </w:rPr>
              <w:t xml:space="preserve"> This course is an exploration of the public health challenges facing the Church and local nongovernmental organizations (NGO’s) within urban poor communities, along with innovative, community-based </w:t>
            </w:r>
            <w:r w:rsidRPr="00A84C33">
              <w:rPr>
                <w:rStyle w:val="normaltextrun"/>
              </w:rPr>
              <w:lastRenderedPageBreak/>
              <w:t>responses. Topics include environmental health, maternal and child health, and chronic health conditions prevalent in marginal urban communities. </w:t>
            </w:r>
            <w:r w:rsidRPr="00A84C33">
              <w:rPr>
                <w:rStyle w:val="eop"/>
              </w:rPr>
              <w:t> </w:t>
            </w:r>
          </w:p>
        </w:tc>
      </w:tr>
      <w:tr w:rsidR="00A84C33" w:rsidRPr="00A84C33" w14:paraId="37A09820" w14:textId="77777777" w:rsidTr="00A84C33">
        <w:tc>
          <w:tcPr>
            <w:tcW w:w="12950" w:type="dxa"/>
          </w:tcPr>
          <w:p w14:paraId="35F5F40E"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scxw151617341"/>
                <w:rFonts w:ascii="Cambria" w:hAnsi="Cambria" w:cs="Segoe UI"/>
                <w:sz w:val="22"/>
                <w:szCs w:val="22"/>
              </w:rPr>
              <w:lastRenderedPageBreak/>
              <w:t> </w:t>
            </w:r>
            <w:r w:rsidRPr="00A84C33">
              <w:rPr>
                <w:rFonts w:ascii="Cambria" w:hAnsi="Cambria" w:cs="Segoe UI"/>
                <w:sz w:val="22"/>
                <w:szCs w:val="22"/>
              </w:rPr>
              <w:br/>
            </w:r>
            <w:r w:rsidRPr="00A84C33">
              <w:rPr>
                <w:rStyle w:val="normaltextrun"/>
                <w:b/>
                <w:bCs/>
              </w:rPr>
              <w:t>TUL 655 Advocacy and the Urban Environment:</w:t>
            </w:r>
            <w:r w:rsidRPr="00A84C33">
              <w:rPr>
                <w:rStyle w:val="normaltextrun"/>
              </w:rPr>
              <w:t> Students in this course examine relations between urban poor communities, the land, and broader environmental problems including natural disasters. Fieldwork focuses on advocacy for adequate housing, infrastructure services, and effective disaster response.</w:t>
            </w:r>
            <w:r w:rsidRPr="00A84C33">
              <w:rPr>
                <w:rStyle w:val="eop"/>
              </w:rPr>
              <w:t> </w:t>
            </w:r>
          </w:p>
        </w:tc>
      </w:tr>
      <w:tr w:rsidR="00A84C33" w:rsidRPr="00A84C33" w14:paraId="3291A435" w14:textId="77777777" w:rsidTr="00A84C33">
        <w:tc>
          <w:tcPr>
            <w:tcW w:w="12950" w:type="dxa"/>
          </w:tcPr>
          <w:p w14:paraId="26F8D1B4"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eop"/>
              </w:rPr>
              <w:t> </w:t>
            </w:r>
          </w:p>
        </w:tc>
      </w:tr>
      <w:tr w:rsidR="00A84C33" w:rsidRPr="00A84C33" w14:paraId="1D565718" w14:textId="77777777" w:rsidTr="00A84C33">
        <w:tc>
          <w:tcPr>
            <w:tcW w:w="12950" w:type="dxa"/>
          </w:tcPr>
          <w:p w14:paraId="1855597A"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normaltextrun"/>
                <w:b/>
                <w:bCs/>
                <w:color w:val="D13438"/>
                <w:u w:val="single"/>
              </w:rPr>
              <w:t>TUL680 Reentry: </w:t>
            </w:r>
            <w:r w:rsidRPr="00A84C33">
              <w:rPr>
                <w:rStyle w:val="normaltextrun"/>
                <w:color w:val="D13438"/>
                <w:u w:val="single"/>
              </w:rPr>
              <w:t>North American students reflect together on lessons learned, cultural </w:t>
            </w:r>
            <w:proofErr w:type="spellStart"/>
            <w:r w:rsidRPr="00A84C33">
              <w:rPr>
                <w:rStyle w:val="normaltextrun"/>
                <w:color w:val="D13438"/>
                <w:u w:val="single"/>
              </w:rPr>
              <w:t>experieinces</w:t>
            </w:r>
            <w:proofErr w:type="spellEnd"/>
            <w:r w:rsidRPr="00A84C33">
              <w:rPr>
                <w:rStyle w:val="normaltextrun"/>
                <w:color w:val="D13438"/>
                <w:u w:val="single"/>
              </w:rPr>
              <w:t> through which they have journeyed and expectations of reentry. </w:t>
            </w:r>
            <w:r w:rsidRPr="00A84C33">
              <w:rPr>
                <w:rStyle w:val="eop"/>
                <w:color w:val="D13438"/>
              </w:rPr>
              <w:t> </w:t>
            </w:r>
          </w:p>
        </w:tc>
      </w:tr>
      <w:tr w:rsidR="00A84C33" w:rsidRPr="00A84C33" w14:paraId="0B8F57DD" w14:textId="77777777" w:rsidTr="00A84C33">
        <w:tc>
          <w:tcPr>
            <w:tcW w:w="12950" w:type="dxa"/>
          </w:tcPr>
          <w:p w14:paraId="1457E8EC"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eop"/>
              </w:rPr>
              <w:t> </w:t>
            </w:r>
          </w:p>
        </w:tc>
      </w:tr>
      <w:tr w:rsidR="00A84C33" w:rsidRPr="00A84C33" w14:paraId="1A95043E" w14:textId="77777777" w:rsidTr="00A84C33">
        <w:tc>
          <w:tcPr>
            <w:tcW w:w="12950" w:type="dxa"/>
          </w:tcPr>
          <w:p w14:paraId="152A809F" w14:textId="7F7F7535"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normaltextrun"/>
                <w:b/>
                <w:bCs/>
              </w:rPr>
              <w:t>TUL698 Mentored Study </w:t>
            </w:r>
            <w:r>
              <w:rPr>
                <w:rStyle w:val="normaltextrun"/>
                <w:b/>
                <w:bCs/>
              </w:rPr>
              <w:t>(</w:t>
            </w:r>
            <w:proofErr w:type="spellStart"/>
            <w:r>
              <w:rPr>
                <w:rStyle w:val="normaltextrun"/>
                <w:b/>
                <w:bCs/>
              </w:rPr>
              <w:t>optopm</w:t>
            </w:r>
            <w:proofErr w:type="spellEnd"/>
          </w:p>
        </w:tc>
      </w:tr>
      <w:tr w:rsidR="00A84C33" w:rsidRPr="00A84C33" w14:paraId="17B1B925" w14:textId="77777777" w:rsidTr="00A84C33">
        <w:tc>
          <w:tcPr>
            <w:tcW w:w="12950" w:type="dxa"/>
          </w:tcPr>
          <w:p w14:paraId="61D08601"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eop"/>
              </w:rPr>
              <w:t> </w:t>
            </w:r>
          </w:p>
        </w:tc>
      </w:tr>
      <w:tr w:rsidR="00A84C33" w:rsidRPr="00A84C33" w14:paraId="7EE71BBC" w14:textId="77777777" w:rsidTr="00A84C33">
        <w:tc>
          <w:tcPr>
            <w:tcW w:w="12950" w:type="dxa"/>
          </w:tcPr>
          <w:p w14:paraId="18187FAF" w14:textId="1D7D2450"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normaltextrun"/>
                <w:b/>
                <w:bCs/>
              </w:rPr>
              <w:t>TUL699 Independent </w:t>
            </w:r>
            <w:proofErr w:type="gramStart"/>
            <w:r w:rsidRPr="00A84C33">
              <w:rPr>
                <w:rStyle w:val="normaltextrun"/>
                <w:b/>
                <w:bCs/>
              </w:rPr>
              <w:t>Study  </w:t>
            </w:r>
            <w:r>
              <w:rPr>
                <w:rStyle w:val="normaltextrun"/>
              </w:rPr>
              <w:t>(</w:t>
            </w:r>
            <w:proofErr w:type="gramEnd"/>
            <w:r>
              <w:rPr>
                <w:rStyle w:val="normaltextrun"/>
              </w:rPr>
              <w:t>option)</w:t>
            </w:r>
          </w:p>
        </w:tc>
      </w:tr>
      <w:tr w:rsidR="00A84C33" w:rsidRPr="00A84C33" w14:paraId="7DB5472C" w14:textId="77777777" w:rsidTr="00A84C33">
        <w:tc>
          <w:tcPr>
            <w:tcW w:w="12950" w:type="dxa"/>
          </w:tcPr>
          <w:p w14:paraId="03200039" w14:textId="77777777" w:rsidR="00A84C33" w:rsidRPr="00A84C33" w:rsidRDefault="00A84C33" w:rsidP="00585FA3">
            <w:pPr>
              <w:pStyle w:val="paragraph"/>
              <w:spacing w:before="0" w:beforeAutospacing="0" w:after="0" w:afterAutospacing="0"/>
              <w:textAlignment w:val="baseline"/>
              <w:rPr>
                <w:rFonts w:ascii="Segoe UI" w:hAnsi="Segoe UI" w:cs="Segoe UI"/>
                <w:sz w:val="18"/>
                <w:szCs w:val="18"/>
              </w:rPr>
            </w:pPr>
            <w:r w:rsidRPr="00A84C33">
              <w:rPr>
                <w:rStyle w:val="eop"/>
              </w:rPr>
              <w:t> </w:t>
            </w:r>
          </w:p>
        </w:tc>
      </w:tr>
    </w:tbl>
    <w:p w14:paraId="048C0618" w14:textId="77777777" w:rsidR="00B06D9D" w:rsidRDefault="004A4655" w:rsidP="00A84C33"/>
    <w:sectPr w:rsidR="00B06D9D" w:rsidSect="00A84C3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C33"/>
    <w:rsid w:val="004A4655"/>
    <w:rsid w:val="009649B4"/>
    <w:rsid w:val="00A84C33"/>
    <w:rsid w:val="00ED0D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E8EA5F"/>
  <w15:chartTrackingRefBased/>
  <w15:docId w15:val="{5B89D4EE-294C-2B48-A4B4-0DAEC893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A84C3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A84C33"/>
  </w:style>
  <w:style w:type="character" w:customStyle="1" w:styleId="eop">
    <w:name w:val="eop"/>
    <w:basedOn w:val="DefaultParagraphFont"/>
    <w:rsid w:val="00A84C33"/>
  </w:style>
  <w:style w:type="character" w:customStyle="1" w:styleId="scxw151617341">
    <w:name w:val="scxw151617341"/>
    <w:basedOn w:val="DefaultParagraphFont"/>
    <w:rsid w:val="00A84C33"/>
  </w:style>
  <w:style w:type="paragraph" w:styleId="BalloonText">
    <w:name w:val="Balloon Text"/>
    <w:basedOn w:val="Normal"/>
    <w:link w:val="BalloonTextChar"/>
    <w:uiPriority w:val="99"/>
    <w:semiHidden/>
    <w:unhideWhenUsed/>
    <w:rsid w:val="00A84C3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84C33"/>
    <w:rPr>
      <w:rFonts w:ascii="Times New Roman" w:eastAsiaTheme="minorEastAsia" w:hAnsi="Times New Roman" w:cs="Times New Roman"/>
      <w:sz w:val="18"/>
      <w:szCs w:val="18"/>
    </w:rPr>
  </w:style>
  <w:style w:type="table" w:styleId="TableGrid">
    <w:name w:val="Table Grid"/>
    <w:basedOn w:val="TableNormal"/>
    <w:uiPriority w:val="39"/>
    <w:rsid w:val="00A84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5292277">
      <w:bodyDiv w:val="1"/>
      <w:marLeft w:val="0"/>
      <w:marRight w:val="0"/>
      <w:marTop w:val="0"/>
      <w:marBottom w:val="0"/>
      <w:divBdr>
        <w:top w:val="none" w:sz="0" w:space="0" w:color="auto"/>
        <w:left w:val="none" w:sz="0" w:space="0" w:color="auto"/>
        <w:bottom w:val="none" w:sz="0" w:space="0" w:color="auto"/>
        <w:right w:val="none" w:sz="0" w:space="0" w:color="auto"/>
      </w:divBdr>
      <w:divsChild>
        <w:div w:id="852916349">
          <w:marLeft w:val="0"/>
          <w:marRight w:val="0"/>
          <w:marTop w:val="0"/>
          <w:marBottom w:val="0"/>
          <w:divBdr>
            <w:top w:val="none" w:sz="0" w:space="0" w:color="auto"/>
            <w:left w:val="none" w:sz="0" w:space="0" w:color="auto"/>
            <w:bottom w:val="none" w:sz="0" w:space="0" w:color="auto"/>
            <w:right w:val="none" w:sz="0" w:space="0" w:color="auto"/>
          </w:divBdr>
        </w:div>
        <w:div w:id="2126532562">
          <w:marLeft w:val="0"/>
          <w:marRight w:val="0"/>
          <w:marTop w:val="0"/>
          <w:marBottom w:val="0"/>
          <w:divBdr>
            <w:top w:val="none" w:sz="0" w:space="0" w:color="auto"/>
            <w:left w:val="none" w:sz="0" w:space="0" w:color="auto"/>
            <w:bottom w:val="none" w:sz="0" w:space="0" w:color="auto"/>
            <w:right w:val="none" w:sz="0" w:space="0" w:color="auto"/>
          </w:divBdr>
        </w:div>
        <w:div w:id="1255476783">
          <w:marLeft w:val="0"/>
          <w:marRight w:val="0"/>
          <w:marTop w:val="0"/>
          <w:marBottom w:val="0"/>
          <w:divBdr>
            <w:top w:val="none" w:sz="0" w:space="0" w:color="auto"/>
            <w:left w:val="none" w:sz="0" w:space="0" w:color="auto"/>
            <w:bottom w:val="none" w:sz="0" w:space="0" w:color="auto"/>
            <w:right w:val="none" w:sz="0" w:space="0" w:color="auto"/>
          </w:divBdr>
        </w:div>
        <w:div w:id="860508546">
          <w:marLeft w:val="0"/>
          <w:marRight w:val="0"/>
          <w:marTop w:val="0"/>
          <w:marBottom w:val="0"/>
          <w:divBdr>
            <w:top w:val="none" w:sz="0" w:space="0" w:color="auto"/>
            <w:left w:val="none" w:sz="0" w:space="0" w:color="auto"/>
            <w:bottom w:val="none" w:sz="0" w:space="0" w:color="auto"/>
            <w:right w:val="none" w:sz="0" w:space="0" w:color="auto"/>
          </w:divBdr>
        </w:div>
        <w:div w:id="189295008">
          <w:marLeft w:val="0"/>
          <w:marRight w:val="0"/>
          <w:marTop w:val="0"/>
          <w:marBottom w:val="0"/>
          <w:divBdr>
            <w:top w:val="none" w:sz="0" w:space="0" w:color="auto"/>
            <w:left w:val="none" w:sz="0" w:space="0" w:color="auto"/>
            <w:bottom w:val="none" w:sz="0" w:space="0" w:color="auto"/>
            <w:right w:val="none" w:sz="0" w:space="0" w:color="auto"/>
          </w:divBdr>
        </w:div>
        <w:div w:id="1011184968">
          <w:marLeft w:val="0"/>
          <w:marRight w:val="0"/>
          <w:marTop w:val="0"/>
          <w:marBottom w:val="0"/>
          <w:divBdr>
            <w:top w:val="none" w:sz="0" w:space="0" w:color="auto"/>
            <w:left w:val="none" w:sz="0" w:space="0" w:color="auto"/>
            <w:bottom w:val="none" w:sz="0" w:space="0" w:color="auto"/>
            <w:right w:val="none" w:sz="0" w:space="0" w:color="auto"/>
          </w:divBdr>
        </w:div>
        <w:div w:id="1713076088">
          <w:marLeft w:val="0"/>
          <w:marRight w:val="0"/>
          <w:marTop w:val="0"/>
          <w:marBottom w:val="0"/>
          <w:divBdr>
            <w:top w:val="none" w:sz="0" w:space="0" w:color="auto"/>
            <w:left w:val="none" w:sz="0" w:space="0" w:color="auto"/>
            <w:bottom w:val="none" w:sz="0" w:space="0" w:color="auto"/>
            <w:right w:val="none" w:sz="0" w:space="0" w:color="auto"/>
          </w:divBdr>
        </w:div>
        <w:div w:id="1525627781">
          <w:marLeft w:val="0"/>
          <w:marRight w:val="0"/>
          <w:marTop w:val="0"/>
          <w:marBottom w:val="0"/>
          <w:divBdr>
            <w:top w:val="none" w:sz="0" w:space="0" w:color="auto"/>
            <w:left w:val="none" w:sz="0" w:space="0" w:color="auto"/>
            <w:bottom w:val="none" w:sz="0" w:space="0" w:color="auto"/>
            <w:right w:val="none" w:sz="0" w:space="0" w:color="auto"/>
          </w:divBdr>
        </w:div>
        <w:div w:id="1850292902">
          <w:marLeft w:val="0"/>
          <w:marRight w:val="0"/>
          <w:marTop w:val="0"/>
          <w:marBottom w:val="0"/>
          <w:divBdr>
            <w:top w:val="none" w:sz="0" w:space="0" w:color="auto"/>
            <w:left w:val="none" w:sz="0" w:space="0" w:color="auto"/>
            <w:bottom w:val="none" w:sz="0" w:space="0" w:color="auto"/>
            <w:right w:val="none" w:sz="0" w:space="0" w:color="auto"/>
          </w:divBdr>
        </w:div>
        <w:div w:id="2026469928">
          <w:marLeft w:val="0"/>
          <w:marRight w:val="0"/>
          <w:marTop w:val="0"/>
          <w:marBottom w:val="0"/>
          <w:divBdr>
            <w:top w:val="none" w:sz="0" w:space="0" w:color="auto"/>
            <w:left w:val="none" w:sz="0" w:space="0" w:color="auto"/>
            <w:bottom w:val="none" w:sz="0" w:space="0" w:color="auto"/>
            <w:right w:val="none" w:sz="0" w:space="0" w:color="auto"/>
          </w:divBdr>
        </w:div>
        <w:div w:id="1901861449">
          <w:marLeft w:val="0"/>
          <w:marRight w:val="0"/>
          <w:marTop w:val="0"/>
          <w:marBottom w:val="0"/>
          <w:divBdr>
            <w:top w:val="none" w:sz="0" w:space="0" w:color="auto"/>
            <w:left w:val="none" w:sz="0" w:space="0" w:color="auto"/>
            <w:bottom w:val="none" w:sz="0" w:space="0" w:color="auto"/>
            <w:right w:val="none" w:sz="0" w:space="0" w:color="auto"/>
          </w:divBdr>
        </w:div>
        <w:div w:id="2125885086">
          <w:marLeft w:val="0"/>
          <w:marRight w:val="0"/>
          <w:marTop w:val="0"/>
          <w:marBottom w:val="0"/>
          <w:divBdr>
            <w:top w:val="none" w:sz="0" w:space="0" w:color="auto"/>
            <w:left w:val="none" w:sz="0" w:space="0" w:color="auto"/>
            <w:bottom w:val="none" w:sz="0" w:space="0" w:color="auto"/>
            <w:right w:val="none" w:sz="0" w:space="0" w:color="auto"/>
          </w:divBdr>
        </w:div>
        <w:div w:id="1310018213">
          <w:marLeft w:val="0"/>
          <w:marRight w:val="0"/>
          <w:marTop w:val="0"/>
          <w:marBottom w:val="0"/>
          <w:divBdr>
            <w:top w:val="none" w:sz="0" w:space="0" w:color="auto"/>
            <w:left w:val="none" w:sz="0" w:space="0" w:color="auto"/>
            <w:bottom w:val="none" w:sz="0" w:space="0" w:color="auto"/>
            <w:right w:val="none" w:sz="0" w:space="0" w:color="auto"/>
          </w:divBdr>
        </w:div>
        <w:div w:id="1142621525">
          <w:marLeft w:val="0"/>
          <w:marRight w:val="0"/>
          <w:marTop w:val="0"/>
          <w:marBottom w:val="0"/>
          <w:divBdr>
            <w:top w:val="none" w:sz="0" w:space="0" w:color="auto"/>
            <w:left w:val="none" w:sz="0" w:space="0" w:color="auto"/>
            <w:bottom w:val="none" w:sz="0" w:space="0" w:color="auto"/>
            <w:right w:val="none" w:sz="0" w:space="0" w:color="auto"/>
          </w:divBdr>
        </w:div>
        <w:div w:id="146561068">
          <w:marLeft w:val="0"/>
          <w:marRight w:val="0"/>
          <w:marTop w:val="0"/>
          <w:marBottom w:val="0"/>
          <w:divBdr>
            <w:top w:val="none" w:sz="0" w:space="0" w:color="auto"/>
            <w:left w:val="none" w:sz="0" w:space="0" w:color="auto"/>
            <w:bottom w:val="none" w:sz="0" w:space="0" w:color="auto"/>
            <w:right w:val="none" w:sz="0" w:space="0" w:color="auto"/>
          </w:divBdr>
        </w:div>
        <w:div w:id="596181757">
          <w:marLeft w:val="0"/>
          <w:marRight w:val="0"/>
          <w:marTop w:val="0"/>
          <w:marBottom w:val="0"/>
          <w:divBdr>
            <w:top w:val="none" w:sz="0" w:space="0" w:color="auto"/>
            <w:left w:val="none" w:sz="0" w:space="0" w:color="auto"/>
            <w:bottom w:val="none" w:sz="0" w:space="0" w:color="auto"/>
            <w:right w:val="none" w:sz="0" w:space="0" w:color="auto"/>
          </w:divBdr>
        </w:div>
        <w:div w:id="925458266">
          <w:marLeft w:val="0"/>
          <w:marRight w:val="0"/>
          <w:marTop w:val="0"/>
          <w:marBottom w:val="0"/>
          <w:divBdr>
            <w:top w:val="none" w:sz="0" w:space="0" w:color="auto"/>
            <w:left w:val="none" w:sz="0" w:space="0" w:color="auto"/>
            <w:bottom w:val="none" w:sz="0" w:space="0" w:color="auto"/>
            <w:right w:val="none" w:sz="0" w:space="0" w:color="auto"/>
          </w:divBdr>
        </w:div>
        <w:div w:id="875048653">
          <w:marLeft w:val="0"/>
          <w:marRight w:val="0"/>
          <w:marTop w:val="0"/>
          <w:marBottom w:val="0"/>
          <w:divBdr>
            <w:top w:val="none" w:sz="0" w:space="0" w:color="auto"/>
            <w:left w:val="none" w:sz="0" w:space="0" w:color="auto"/>
            <w:bottom w:val="none" w:sz="0" w:space="0" w:color="auto"/>
            <w:right w:val="none" w:sz="0" w:space="0" w:color="auto"/>
          </w:divBdr>
        </w:div>
        <w:div w:id="191235121">
          <w:marLeft w:val="0"/>
          <w:marRight w:val="0"/>
          <w:marTop w:val="0"/>
          <w:marBottom w:val="0"/>
          <w:divBdr>
            <w:top w:val="none" w:sz="0" w:space="0" w:color="auto"/>
            <w:left w:val="none" w:sz="0" w:space="0" w:color="auto"/>
            <w:bottom w:val="none" w:sz="0" w:space="0" w:color="auto"/>
            <w:right w:val="none" w:sz="0" w:space="0" w:color="auto"/>
          </w:divBdr>
        </w:div>
        <w:div w:id="1498040039">
          <w:marLeft w:val="0"/>
          <w:marRight w:val="0"/>
          <w:marTop w:val="0"/>
          <w:marBottom w:val="0"/>
          <w:divBdr>
            <w:top w:val="none" w:sz="0" w:space="0" w:color="auto"/>
            <w:left w:val="none" w:sz="0" w:space="0" w:color="auto"/>
            <w:bottom w:val="none" w:sz="0" w:space="0" w:color="auto"/>
            <w:right w:val="none" w:sz="0" w:space="0" w:color="auto"/>
          </w:divBdr>
        </w:div>
        <w:div w:id="744227053">
          <w:marLeft w:val="0"/>
          <w:marRight w:val="0"/>
          <w:marTop w:val="0"/>
          <w:marBottom w:val="0"/>
          <w:divBdr>
            <w:top w:val="none" w:sz="0" w:space="0" w:color="auto"/>
            <w:left w:val="none" w:sz="0" w:space="0" w:color="auto"/>
            <w:bottom w:val="none" w:sz="0" w:space="0" w:color="auto"/>
            <w:right w:val="none" w:sz="0" w:space="0" w:color="auto"/>
          </w:divBdr>
        </w:div>
        <w:div w:id="380518746">
          <w:marLeft w:val="0"/>
          <w:marRight w:val="0"/>
          <w:marTop w:val="0"/>
          <w:marBottom w:val="0"/>
          <w:divBdr>
            <w:top w:val="none" w:sz="0" w:space="0" w:color="auto"/>
            <w:left w:val="none" w:sz="0" w:space="0" w:color="auto"/>
            <w:bottom w:val="none" w:sz="0" w:space="0" w:color="auto"/>
            <w:right w:val="none" w:sz="0" w:space="0" w:color="auto"/>
          </w:divBdr>
        </w:div>
        <w:div w:id="802430327">
          <w:marLeft w:val="0"/>
          <w:marRight w:val="0"/>
          <w:marTop w:val="0"/>
          <w:marBottom w:val="0"/>
          <w:divBdr>
            <w:top w:val="none" w:sz="0" w:space="0" w:color="auto"/>
            <w:left w:val="none" w:sz="0" w:space="0" w:color="auto"/>
            <w:bottom w:val="none" w:sz="0" w:space="0" w:color="auto"/>
            <w:right w:val="none" w:sz="0" w:space="0" w:color="auto"/>
          </w:divBdr>
        </w:div>
        <w:div w:id="2064331127">
          <w:marLeft w:val="0"/>
          <w:marRight w:val="0"/>
          <w:marTop w:val="0"/>
          <w:marBottom w:val="0"/>
          <w:divBdr>
            <w:top w:val="none" w:sz="0" w:space="0" w:color="auto"/>
            <w:left w:val="none" w:sz="0" w:space="0" w:color="auto"/>
            <w:bottom w:val="none" w:sz="0" w:space="0" w:color="auto"/>
            <w:right w:val="none" w:sz="0" w:space="0" w:color="auto"/>
          </w:divBdr>
        </w:div>
        <w:div w:id="703603198">
          <w:marLeft w:val="0"/>
          <w:marRight w:val="0"/>
          <w:marTop w:val="0"/>
          <w:marBottom w:val="0"/>
          <w:divBdr>
            <w:top w:val="none" w:sz="0" w:space="0" w:color="auto"/>
            <w:left w:val="none" w:sz="0" w:space="0" w:color="auto"/>
            <w:bottom w:val="none" w:sz="0" w:space="0" w:color="auto"/>
            <w:right w:val="none" w:sz="0" w:space="0" w:color="auto"/>
          </w:divBdr>
        </w:div>
        <w:div w:id="559481557">
          <w:marLeft w:val="0"/>
          <w:marRight w:val="0"/>
          <w:marTop w:val="0"/>
          <w:marBottom w:val="0"/>
          <w:divBdr>
            <w:top w:val="none" w:sz="0" w:space="0" w:color="auto"/>
            <w:left w:val="none" w:sz="0" w:space="0" w:color="auto"/>
            <w:bottom w:val="none" w:sz="0" w:space="0" w:color="auto"/>
            <w:right w:val="none" w:sz="0" w:space="0" w:color="auto"/>
          </w:divBdr>
        </w:div>
        <w:div w:id="4827447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Props1.xml><?xml version="1.0" encoding="utf-8"?>
<ds:datastoreItem xmlns:ds="http://schemas.openxmlformats.org/officeDocument/2006/customXml" ds:itemID="{EC13CCE6-DCC4-4938-A050-A9A77C1728A7}"/>
</file>

<file path=customXml/itemProps2.xml><?xml version="1.0" encoding="utf-8"?>
<ds:datastoreItem xmlns:ds="http://schemas.openxmlformats.org/officeDocument/2006/customXml" ds:itemID="{2AC3308C-B850-48BF-A37D-2791E03175BC}"/>
</file>

<file path=customXml/itemProps3.xml><?xml version="1.0" encoding="utf-8"?>
<ds:datastoreItem xmlns:ds="http://schemas.openxmlformats.org/officeDocument/2006/customXml" ds:itemID="{BC0DCCE4-2E44-4E00-A314-288850B07106}"/>
</file>

<file path=docProps/app.xml><?xml version="1.0" encoding="utf-8"?>
<Properties xmlns="http://schemas.openxmlformats.org/officeDocument/2006/extended-properties" xmlns:vt="http://schemas.openxmlformats.org/officeDocument/2006/docPropsVTypes">
  <Template>Normal.dotm</Template>
  <TotalTime>4</TotalTime>
  <Pages>3</Pages>
  <Words>812</Words>
  <Characters>4633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 Grigg</dc:creator>
  <cp:keywords/>
  <dc:description/>
  <cp:lastModifiedBy>Viv Grigg</cp:lastModifiedBy>
  <cp:revision>1</cp:revision>
  <dcterms:created xsi:type="dcterms:W3CDTF">2020-06-26T23:22:00Z</dcterms:created>
  <dcterms:modified xsi:type="dcterms:W3CDTF">2020-06-29T15:35:00Z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